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color w:val="000000"/>
          <w:sz w:val="44"/>
          <w:szCs w:val="44"/>
          <w:lang w:val="en-US" w:eastAsia="zh-CN"/>
        </w:rPr>
        <w:t>列入“黑名单”告知书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〔20  〕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经调查，你单位存在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情形和问题。根据《唐山市重大决策社会稳定风险评估第三方机构管理办法（试行）》有关规定，现拟将你单位列入唐山市重大决策社会稳定风险评估第三方机构“黑名单”，且5年内不得在我市承接社会稳定风险评估业务，并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同时，我市将建议省委政法委重新对你单位报备资格进行审查，并按照相关规定督促你单位落实整改。你单位有权进行陈述和申辩。请你单位在收到本告之书之日起3个工作日内携带相关证据材料及相关书面报告，到唐山市委政法委进行陈述和申辩（联系人：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，联系电话：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逾期未进行陈述或者申辩，视为你单位对被告知的内容无陈述和申辩意见。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中共唐山市委政法委员会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80" w:firstLineChars="1775"/>
        <w:jc w:val="center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1322E"/>
    <w:rsid w:val="5161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2024-09-13T07:00:00Z</dcterms:created>
  <dc:creator>Administrator</dc:creator>
  <cp:lastModifiedBy>Administrator</cp:lastModifiedBy>
  <dcterms:modified xsi:type="dcterms:W3CDTF">2024-09-13T07:01:17Z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